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2851F" w14:textId="2A533B82" w:rsidR="006C765D" w:rsidRPr="00E11264" w:rsidRDefault="00E11264" w:rsidP="00E11264">
      <w:pPr>
        <w:rPr>
          <w:rFonts w:ascii="Tahoma" w:hAnsi="Tahoma" w:cs="Tahoma"/>
          <w:b/>
        </w:rPr>
      </w:pPr>
      <w:bookmarkStart w:id="0" w:name="_GoBack"/>
      <w:bookmarkEnd w:id="0"/>
      <w:r>
        <w:t xml:space="preserve">                                                                      </w:t>
      </w:r>
      <w:r w:rsidR="006C765D" w:rsidRPr="00E11264">
        <w:rPr>
          <w:rFonts w:ascii="Tahoma" w:hAnsi="Tahoma" w:cs="Tahoma"/>
          <w:b/>
        </w:rPr>
        <w:t>PIANO DI LAVORO  FINALE</w:t>
      </w:r>
    </w:p>
    <w:p w14:paraId="4249D8A5" w14:textId="5C418D6F" w:rsidR="006C765D" w:rsidRPr="00E11264" w:rsidRDefault="006C765D" w:rsidP="006C765D">
      <w:pPr>
        <w:jc w:val="center"/>
        <w:rPr>
          <w:rFonts w:ascii="Tahoma" w:hAnsi="Tahoma" w:cs="Tahoma"/>
          <w:b/>
        </w:rPr>
      </w:pPr>
      <w:r w:rsidRPr="00E11264">
        <w:rPr>
          <w:rFonts w:ascii="Tahoma" w:hAnsi="Tahoma" w:cs="Tahoma"/>
          <w:b/>
        </w:rPr>
        <w:t>CLASSE  IV  B SIA</w:t>
      </w:r>
    </w:p>
    <w:p w14:paraId="2608F860" w14:textId="7284A5E4" w:rsidR="006C765D" w:rsidRPr="00E11264" w:rsidRDefault="006C765D" w:rsidP="006C765D">
      <w:pPr>
        <w:jc w:val="center"/>
        <w:rPr>
          <w:rFonts w:ascii="Tahoma" w:hAnsi="Tahoma" w:cs="Tahoma"/>
          <w:b/>
        </w:rPr>
      </w:pPr>
      <w:r w:rsidRPr="00E11264">
        <w:rPr>
          <w:rFonts w:ascii="Tahoma" w:hAnsi="Tahoma" w:cs="Tahoma"/>
          <w:b/>
        </w:rPr>
        <w:t>Anno  Scolastico 2023-2024</w:t>
      </w:r>
    </w:p>
    <w:p w14:paraId="412D4AD3" w14:textId="6765FB89" w:rsidR="006C765D" w:rsidRPr="00E11264" w:rsidRDefault="006C765D" w:rsidP="006C765D">
      <w:pPr>
        <w:pBdr>
          <w:bottom w:val="single" w:sz="6" w:space="1" w:color="auto"/>
        </w:pBdr>
        <w:jc w:val="center"/>
        <w:rPr>
          <w:rFonts w:ascii="Tahoma" w:hAnsi="Tahoma" w:cs="Tahoma"/>
          <w:b/>
        </w:rPr>
      </w:pPr>
      <w:r w:rsidRPr="00E11264">
        <w:rPr>
          <w:rFonts w:ascii="Tahoma" w:hAnsi="Tahoma" w:cs="Tahoma"/>
          <w:b/>
        </w:rPr>
        <w:t>Prof</w:t>
      </w:r>
      <w:r w:rsidR="00E11264">
        <w:rPr>
          <w:rFonts w:ascii="Tahoma" w:hAnsi="Tahoma" w:cs="Tahoma"/>
          <w:b/>
        </w:rPr>
        <w:t>.ssa</w:t>
      </w:r>
      <w:r w:rsidRPr="00E11264">
        <w:rPr>
          <w:rFonts w:ascii="Tahoma" w:hAnsi="Tahoma" w:cs="Tahoma"/>
          <w:b/>
        </w:rPr>
        <w:t xml:space="preserve"> Valentina </w:t>
      </w:r>
      <w:r w:rsidR="00E11264">
        <w:rPr>
          <w:rFonts w:ascii="Tahoma" w:hAnsi="Tahoma" w:cs="Tahoma"/>
          <w:b/>
        </w:rPr>
        <w:t>D</w:t>
      </w:r>
      <w:r w:rsidRPr="00E11264">
        <w:rPr>
          <w:rFonts w:ascii="Tahoma" w:hAnsi="Tahoma" w:cs="Tahoma"/>
          <w:b/>
        </w:rPr>
        <w:t>e Angelis</w:t>
      </w:r>
    </w:p>
    <w:p w14:paraId="06E142A7" w14:textId="2B77FD55" w:rsidR="008736C3" w:rsidRPr="00E11264" w:rsidRDefault="00E11264" w:rsidP="00E11264">
      <w:pPr>
        <w:rPr>
          <w:rFonts w:ascii="Andalus" w:hAnsi="Andalus" w:cs="Andalus"/>
          <w:b/>
          <w:bCs/>
          <w:sz w:val="24"/>
          <w:szCs w:val="24"/>
        </w:rPr>
      </w:pPr>
      <w:r>
        <w:t xml:space="preserve">             </w:t>
      </w:r>
      <w:r w:rsidR="008736C3" w:rsidRPr="00E11264">
        <w:rPr>
          <w:rFonts w:ascii="Andalus" w:hAnsi="Andalus" w:cs="Andalus"/>
          <w:b/>
          <w:bCs/>
          <w:sz w:val="24"/>
          <w:szCs w:val="24"/>
        </w:rPr>
        <w:t>MODULO 0</w:t>
      </w:r>
    </w:p>
    <w:p w14:paraId="1B353660" w14:textId="302AA7F0" w:rsidR="00F81220" w:rsidRPr="00E11264" w:rsidRDefault="00F81220" w:rsidP="00F81220">
      <w:pPr>
        <w:ind w:left="1134" w:hanging="567"/>
        <w:rPr>
          <w:rFonts w:ascii="Andalus" w:hAnsi="Andalus" w:cs="Andalus"/>
          <w:b/>
          <w:bCs/>
          <w:sz w:val="24"/>
          <w:szCs w:val="24"/>
        </w:rPr>
      </w:pPr>
      <w:r w:rsidRPr="00E11264">
        <w:rPr>
          <w:rFonts w:ascii="Andalus" w:hAnsi="Andalus" w:cs="Andalus"/>
          <w:b/>
          <w:bCs/>
          <w:sz w:val="24"/>
          <w:szCs w:val="24"/>
        </w:rPr>
        <w:t>UNITÀ DITATTICHE DI RIPASSO</w:t>
      </w:r>
      <w:r w:rsidR="006A6FF8" w:rsidRPr="00E11264">
        <w:rPr>
          <w:rFonts w:ascii="Andalus" w:hAnsi="Andalus" w:cs="Andalus"/>
          <w:b/>
          <w:bCs/>
          <w:sz w:val="24"/>
          <w:szCs w:val="24"/>
        </w:rPr>
        <w:t xml:space="preserve"> DEL 3° ANNO </w:t>
      </w:r>
    </w:p>
    <w:p w14:paraId="0A657931" w14:textId="6067F45C" w:rsidR="00F81220" w:rsidRPr="00E11264" w:rsidRDefault="0068199B" w:rsidP="00F81220">
      <w:pPr>
        <w:ind w:left="1134" w:hanging="567"/>
        <w:rPr>
          <w:rFonts w:ascii="Andalus" w:hAnsi="Andalus" w:cs="Andalus"/>
          <w:b/>
          <w:bCs/>
          <w:sz w:val="24"/>
          <w:szCs w:val="24"/>
        </w:rPr>
      </w:pPr>
      <w:r w:rsidRPr="00E11264">
        <w:rPr>
          <w:rFonts w:ascii="Andalus" w:hAnsi="Andalus" w:cs="Andalus"/>
          <w:b/>
          <w:bCs/>
          <w:sz w:val="24"/>
          <w:szCs w:val="24"/>
        </w:rPr>
        <w:t xml:space="preserve">MOD.0.1- </w:t>
      </w:r>
      <w:r w:rsidR="00F81220" w:rsidRPr="00E11264">
        <w:rPr>
          <w:rFonts w:ascii="Andalus" w:hAnsi="Andalus" w:cs="Andalus"/>
          <w:b/>
          <w:bCs/>
          <w:sz w:val="24"/>
          <w:szCs w:val="24"/>
        </w:rPr>
        <w:t xml:space="preserve">I Titoli di credito </w:t>
      </w:r>
    </w:p>
    <w:p w14:paraId="4033216C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 xml:space="preserve">Regolamenti con assegni </w:t>
      </w:r>
    </w:p>
    <w:p w14:paraId="04960B66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L’assegno bancario</w:t>
      </w:r>
    </w:p>
    <w:p w14:paraId="0B3FEF65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L’assegno circolare</w:t>
      </w:r>
    </w:p>
    <w:p w14:paraId="2ECFB708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I regolamenti con cambiale</w:t>
      </w:r>
    </w:p>
    <w:p w14:paraId="71AD705D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Il pagherò cambiario</w:t>
      </w:r>
    </w:p>
    <w:p w14:paraId="25BCA469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La cambiale tratta</w:t>
      </w:r>
    </w:p>
    <w:p w14:paraId="50FC171A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La scadenza delle cambiali</w:t>
      </w:r>
    </w:p>
    <w:p w14:paraId="720F1ACE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La girata delle cambiali</w:t>
      </w:r>
    </w:p>
    <w:p w14:paraId="48845349" w14:textId="77777777" w:rsidR="00F81220" w:rsidRDefault="00F81220" w:rsidP="00F81220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L’avallo della cambiale</w:t>
      </w:r>
    </w:p>
    <w:p w14:paraId="31A863F4" w14:textId="7A13F7EC" w:rsidR="00F81220" w:rsidRPr="006C765D" w:rsidRDefault="00F81220" w:rsidP="006C765D">
      <w:pPr>
        <w:pStyle w:val="Paragrafoelenco"/>
        <w:numPr>
          <w:ilvl w:val="0"/>
          <w:numId w:val="4"/>
        </w:numPr>
        <w:tabs>
          <w:tab w:val="left" w:pos="1134"/>
        </w:tabs>
        <w:ind w:left="1134" w:hanging="425"/>
        <w:rPr>
          <w:rFonts w:ascii="Andalus" w:hAnsi="Andalus" w:cs="Andalus"/>
        </w:rPr>
      </w:pPr>
      <w:r>
        <w:rPr>
          <w:rFonts w:ascii="Andalus" w:hAnsi="Andalus" w:cs="Andalus"/>
        </w:rPr>
        <w:t>Il pagamento delle cambiali</w:t>
      </w:r>
    </w:p>
    <w:p w14:paraId="3C7C4F10" w14:textId="4EF25046" w:rsidR="00F81220" w:rsidRPr="0016455B" w:rsidRDefault="00F81220" w:rsidP="00F81220">
      <w:pPr>
        <w:ind w:left="1134" w:hanging="567"/>
        <w:rPr>
          <w:rFonts w:ascii="Andalus" w:hAnsi="Andalus" w:cs="Andalus"/>
          <w:b/>
          <w:bCs/>
          <w:sz w:val="28"/>
          <w:szCs w:val="28"/>
        </w:rPr>
      </w:pPr>
      <w:r w:rsidRPr="0016455B">
        <w:rPr>
          <w:rFonts w:ascii="Andalus" w:hAnsi="Andalus" w:cs="Andalus"/>
          <w:b/>
          <w:bCs/>
          <w:sz w:val="28"/>
          <w:szCs w:val="28"/>
        </w:rPr>
        <w:t xml:space="preserve">   </w:t>
      </w:r>
      <w:r w:rsidR="0068199B">
        <w:rPr>
          <w:rFonts w:ascii="Andalus" w:hAnsi="Andalus" w:cs="Andalus"/>
          <w:b/>
          <w:bCs/>
          <w:sz w:val="28"/>
          <w:szCs w:val="28"/>
        </w:rPr>
        <w:t xml:space="preserve">MOD.02 </w:t>
      </w:r>
      <w:r w:rsidRPr="0016455B">
        <w:rPr>
          <w:rFonts w:ascii="Andalus" w:hAnsi="Andalus" w:cs="Andalus"/>
          <w:b/>
          <w:bCs/>
          <w:sz w:val="28"/>
          <w:szCs w:val="28"/>
        </w:rPr>
        <w:t xml:space="preserve"> </w:t>
      </w:r>
      <w:bookmarkStart w:id="1" w:name="_Hlk168985299"/>
      <w:r w:rsidRPr="0016455B">
        <w:rPr>
          <w:rFonts w:ascii="Andalus" w:hAnsi="Andalus" w:cs="Andalus"/>
          <w:b/>
          <w:bCs/>
          <w:sz w:val="28"/>
          <w:szCs w:val="28"/>
        </w:rPr>
        <w:t xml:space="preserve">La </w:t>
      </w:r>
      <w:r w:rsidR="0068199B">
        <w:rPr>
          <w:rFonts w:ascii="Andalus" w:hAnsi="Andalus" w:cs="Andalus"/>
          <w:b/>
          <w:bCs/>
          <w:sz w:val="28"/>
          <w:szCs w:val="28"/>
        </w:rPr>
        <w:t>C</w:t>
      </w:r>
      <w:r w:rsidRPr="0016455B">
        <w:rPr>
          <w:rFonts w:ascii="Andalus" w:hAnsi="Andalus" w:cs="Andalus"/>
          <w:b/>
          <w:bCs/>
          <w:sz w:val="28"/>
          <w:szCs w:val="28"/>
        </w:rPr>
        <w:t>ontabilità IVA</w:t>
      </w:r>
      <w:bookmarkEnd w:id="1"/>
    </w:p>
    <w:p w14:paraId="07F1F9C6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L’imposta sul Valore Aggiunto</w:t>
      </w:r>
    </w:p>
    <w:p w14:paraId="6907D60D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I presupposti dell’applicazione dell’IVA</w:t>
      </w:r>
    </w:p>
    <w:p w14:paraId="6CABA89B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Classificazione delle operazioni ai fini IVA</w:t>
      </w:r>
    </w:p>
    <w:p w14:paraId="10703421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Le fasi della vendita</w:t>
      </w:r>
    </w:p>
    <w:p w14:paraId="3B8C862B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Pre-fatturazione: documento di trasporto e di consegna</w:t>
      </w:r>
    </w:p>
    <w:p w14:paraId="1903F198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La base imponibile IVA</w:t>
      </w:r>
    </w:p>
    <w:p w14:paraId="4758231E" w14:textId="77777777" w:rsidR="00F81220" w:rsidRPr="00CD2B9F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Fatturazione:fattura immediata e differita</w:t>
      </w:r>
    </w:p>
    <w:p w14:paraId="1B481A01" w14:textId="77777777" w:rsidR="00F81220" w:rsidRDefault="00F81220" w:rsidP="00F81220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Post-fatturazione : i registri IVA</w:t>
      </w:r>
    </w:p>
    <w:p w14:paraId="437F1E12" w14:textId="3D4C4BFA" w:rsidR="00F81220" w:rsidRPr="006A6FF8" w:rsidRDefault="00F81220" w:rsidP="006A6FF8">
      <w:pPr>
        <w:pStyle w:val="Paragrafoelenco"/>
        <w:numPr>
          <w:ilvl w:val="0"/>
          <w:numId w:val="1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Liquidazioni e versamenti IVA</w:t>
      </w:r>
    </w:p>
    <w:p w14:paraId="5A9C01FC" w14:textId="6D931C4F" w:rsidR="006C765D" w:rsidRPr="006A6FF8" w:rsidRDefault="00F81220" w:rsidP="006A6FF8">
      <w:pPr>
        <w:pStyle w:val="Paragrafoelenco"/>
        <w:numPr>
          <w:ilvl w:val="0"/>
          <w:numId w:val="2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Le rilevazioni in partita doppia sul libro giornale e nei conti di mastro</w:t>
      </w:r>
    </w:p>
    <w:p w14:paraId="08A53CC7" w14:textId="6F8057C1" w:rsidR="00F81220" w:rsidRPr="0016455B" w:rsidRDefault="006A6FF8" w:rsidP="006C765D">
      <w:pPr>
        <w:rPr>
          <w:rFonts w:ascii="Andalus" w:hAnsi="Andalus" w:cs="Andalus"/>
          <w:b/>
          <w:bCs/>
          <w:sz w:val="28"/>
          <w:szCs w:val="28"/>
        </w:rPr>
      </w:pPr>
      <w:r>
        <w:rPr>
          <w:rFonts w:ascii="Andalus" w:hAnsi="Andalus" w:cs="Andalus"/>
          <w:b/>
          <w:bCs/>
          <w:sz w:val="28"/>
          <w:szCs w:val="28"/>
        </w:rPr>
        <w:t xml:space="preserve">        </w:t>
      </w:r>
      <w:r w:rsidR="00F81220" w:rsidRPr="0016455B">
        <w:rPr>
          <w:rFonts w:ascii="Andalus" w:hAnsi="Andalus" w:cs="Andalus"/>
          <w:b/>
          <w:bCs/>
          <w:sz w:val="28"/>
          <w:szCs w:val="28"/>
        </w:rPr>
        <w:t xml:space="preserve">   </w:t>
      </w:r>
      <w:r w:rsidR="0068199B">
        <w:rPr>
          <w:rFonts w:ascii="Andalus" w:hAnsi="Andalus" w:cs="Andalus"/>
          <w:b/>
          <w:bCs/>
          <w:sz w:val="28"/>
          <w:szCs w:val="28"/>
        </w:rPr>
        <w:t>MOD.O3</w:t>
      </w:r>
      <w:r w:rsidR="00F81220" w:rsidRPr="0016455B">
        <w:rPr>
          <w:rFonts w:ascii="Andalus" w:hAnsi="Andalus" w:cs="Andalus"/>
          <w:b/>
          <w:bCs/>
          <w:sz w:val="28"/>
          <w:szCs w:val="28"/>
        </w:rPr>
        <w:t xml:space="preserve"> La </w:t>
      </w:r>
      <w:r w:rsidR="0068199B">
        <w:rPr>
          <w:rFonts w:ascii="Andalus" w:hAnsi="Andalus" w:cs="Andalus"/>
          <w:b/>
          <w:bCs/>
          <w:sz w:val="28"/>
          <w:szCs w:val="28"/>
        </w:rPr>
        <w:t>C</w:t>
      </w:r>
      <w:r w:rsidR="00F81220" w:rsidRPr="0016455B">
        <w:rPr>
          <w:rFonts w:ascii="Andalus" w:hAnsi="Andalus" w:cs="Andalus"/>
          <w:b/>
          <w:bCs/>
          <w:sz w:val="28"/>
          <w:szCs w:val="28"/>
        </w:rPr>
        <w:t>ostituzione dell’</w:t>
      </w:r>
      <w:r w:rsidR="0068199B">
        <w:rPr>
          <w:rFonts w:ascii="Andalus" w:hAnsi="Andalus" w:cs="Andalus"/>
          <w:b/>
          <w:bCs/>
          <w:sz w:val="28"/>
          <w:szCs w:val="28"/>
        </w:rPr>
        <w:t>I</w:t>
      </w:r>
      <w:r w:rsidR="00F81220" w:rsidRPr="0016455B">
        <w:rPr>
          <w:rFonts w:ascii="Andalus" w:hAnsi="Andalus" w:cs="Andalus"/>
          <w:b/>
          <w:bCs/>
          <w:sz w:val="28"/>
          <w:szCs w:val="28"/>
        </w:rPr>
        <w:t>mpresa</w:t>
      </w:r>
    </w:p>
    <w:p w14:paraId="46195969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Premessa</w:t>
      </w:r>
    </w:p>
    <w:p w14:paraId="5587F70C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La nascita dell’impresa</w:t>
      </w:r>
    </w:p>
    <w:p w14:paraId="5C1D6265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L’inventario di costituzione</w:t>
      </w:r>
    </w:p>
    <w:p w14:paraId="6E54B121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 xml:space="preserve">Gli apporti di disponibilità liquide </w:t>
      </w:r>
    </w:p>
    <w:p w14:paraId="421C232B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 xml:space="preserve">Gli apporti in  natura disgiunti e congiunti </w:t>
      </w:r>
    </w:p>
    <w:p w14:paraId="4C7DFCEA" w14:textId="77777777" w:rsidR="00F81220" w:rsidRDefault="00F81220" w:rsidP="00F81220">
      <w:pPr>
        <w:pStyle w:val="Paragrafoelenco"/>
        <w:numPr>
          <w:ilvl w:val="0"/>
          <w:numId w:val="3"/>
        </w:numPr>
        <w:ind w:left="1134" w:hanging="567"/>
        <w:rPr>
          <w:rFonts w:ascii="Andalus" w:hAnsi="Andalus" w:cs="Andalus"/>
        </w:rPr>
      </w:pPr>
      <w:r>
        <w:rPr>
          <w:rFonts w:ascii="Andalus" w:hAnsi="Andalus" w:cs="Andalus"/>
        </w:rPr>
        <w:t>L’acquisto di un’azienda e i costi d’impianto</w:t>
      </w:r>
    </w:p>
    <w:p w14:paraId="02361A2D" w14:textId="29CA575F" w:rsidR="006A6FF8" w:rsidRDefault="006A6FF8" w:rsidP="006A6FF8">
      <w:pPr>
        <w:spacing w:after="0"/>
        <w:rPr>
          <w:rFonts w:ascii="Andalus" w:hAnsi="Andalus" w:cs="Andalus"/>
          <w:b/>
          <w:bCs/>
        </w:rPr>
      </w:pPr>
      <w:r w:rsidRPr="006A6FF8">
        <w:rPr>
          <w:rFonts w:ascii="Andalus" w:hAnsi="Andalus" w:cs="Andalus"/>
          <w:b/>
          <w:bCs/>
        </w:rPr>
        <w:t>MOD 1</w:t>
      </w:r>
      <w:r>
        <w:rPr>
          <w:rFonts w:ascii="Andalus" w:hAnsi="Andalus" w:cs="Andalus"/>
          <w:b/>
          <w:bCs/>
        </w:rPr>
        <w:t xml:space="preserve">.  </w:t>
      </w:r>
      <w:r w:rsidRPr="006A6FF8">
        <w:rPr>
          <w:rFonts w:ascii="Andalus" w:hAnsi="Andalus" w:cs="Andalus"/>
          <w:b/>
          <w:bCs/>
        </w:rPr>
        <w:t xml:space="preserve">DALLE SCRITTURE  DI ASSESTAMENTO ALLA REDAZIONE DEL BILANCIO </w:t>
      </w:r>
      <w:r>
        <w:rPr>
          <w:rFonts w:ascii="Andalus" w:hAnsi="Andalus" w:cs="Andalus"/>
          <w:b/>
          <w:bCs/>
        </w:rPr>
        <w:t xml:space="preserve">    </w:t>
      </w:r>
    </w:p>
    <w:p w14:paraId="29154176" w14:textId="7F916871" w:rsidR="006A6FF8" w:rsidRDefault="006A6FF8" w:rsidP="006A6FF8">
      <w:pPr>
        <w:spacing w:after="0"/>
        <w:rPr>
          <w:rFonts w:ascii="Andalus" w:hAnsi="Andalus" w:cs="Andalus"/>
          <w:b/>
          <w:bCs/>
        </w:rPr>
      </w:pPr>
      <w:r>
        <w:rPr>
          <w:rFonts w:ascii="Andalus" w:hAnsi="Andalus" w:cs="Andalus"/>
          <w:b/>
          <w:bCs/>
        </w:rPr>
        <w:t xml:space="preserve">               </w:t>
      </w:r>
      <w:r w:rsidRPr="006A6FF8">
        <w:rPr>
          <w:rFonts w:ascii="Andalus" w:hAnsi="Andalus" w:cs="Andalus"/>
          <w:b/>
          <w:bCs/>
        </w:rPr>
        <w:t>CIVILISTICO</w:t>
      </w:r>
    </w:p>
    <w:p w14:paraId="7A882641" w14:textId="77777777" w:rsidR="00B3684B" w:rsidRPr="006A6FF8" w:rsidRDefault="00B3684B" w:rsidP="006A6FF8">
      <w:pPr>
        <w:spacing w:after="0"/>
        <w:rPr>
          <w:rFonts w:ascii="Andalus" w:hAnsi="Andalus" w:cs="Andalus"/>
          <w:b/>
          <w:bCs/>
        </w:rPr>
      </w:pPr>
    </w:p>
    <w:p w14:paraId="3B5B9FB0" w14:textId="720EEB87" w:rsidR="00607BB6" w:rsidRPr="006A6FF8" w:rsidRDefault="00607BB6" w:rsidP="00607BB6">
      <w:pPr>
        <w:rPr>
          <w:rFonts w:ascii="Andalus" w:hAnsi="Andalus" w:cs="Andalus"/>
          <w:b/>
          <w:iCs/>
          <w:sz w:val="24"/>
          <w:szCs w:val="24"/>
        </w:rPr>
      </w:pPr>
      <w:r w:rsidRPr="006A6FF8">
        <w:rPr>
          <w:rFonts w:ascii="Andalus" w:hAnsi="Andalus" w:cs="Andalus"/>
          <w:b/>
          <w:iCs/>
          <w:sz w:val="24"/>
          <w:szCs w:val="24"/>
        </w:rPr>
        <w:t xml:space="preserve">  Mod</w:t>
      </w:r>
      <w:r w:rsidR="008736C3" w:rsidRPr="006A6FF8">
        <w:rPr>
          <w:rFonts w:ascii="Andalus" w:hAnsi="Andalus" w:cs="Andalus"/>
          <w:b/>
          <w:iCs/>
          <w:sz w:val="24"/>
          <w:szCs w:val="24"/>
        </w:rPr>
        <w:t xml:space="preserve"> 1</w:t>
      </w:r>
      <w:r w:rsidRPr="006A6FF8">
        <w:rPr>
          <w:rFonts w:ascii="Andalus" w:hAnsi="Andalus" w:cs="Andalus"/>
          <w:b/>
          <w:iCs/>
          <w:sz w:val="24"/>
          <w:szCs w:val="24"/>
        </w:rPr>
        <w:t xml:space="preserve">.1     </w:t>
      </w:r>
      <w:r w:rsidR="006C765D" w:rsidRPr="006A6FF8">
        <w:rPr>
          <w:rFonts w:ascii="Andalus" w:hAnsi="Andalus" w:cs="Andalus" w:hint="cs"/>
          <w:b/>
          <w:iCs/>
          <w:sz w:val="24"/>
          <w:szCs w:val="24"/>
        </w:rPr>
        <w:t xml:space="preserve">Le </w:t>
      </w:r>
      <w:r w:rsidRPr="006A6FF8">
        <w:rPr>
          <w:rFonts w:ascii="Andalus" w:hAnsi="Andalus" w:cs="Andalus"/>
          <w:b/>
          <w:iCs/>
          <w:sz w:val="24"/>
          <w:szCs w:val="24"/>
        </w:rPr>
        <w:t>S</w:t>
      </w:r>
      <w:r w:rsidR="006C765D" w:rsidRPr="006A6FF8">
        <w:rPr>
          <w:rFonts w:ascii="Andalus" w:hAnsi="Andalus" w:cs="Andalus" w:hint="cs"/>
          <w:b/>
          <w:iCs/>
          <w:sz w:val="24"/>
          <w:szCs w:val="24"/>
        </w:rPr>
        <w:t xml:space="preserve">critture  </w:t>
      </w:r>
      <w:r w:rsidRPr="006A6FF8">
        <w:rPr>
          <w:rFonts w:ascii="Andalus" w:hAnsi="Andalus" w:cs="Andalus" w:hint="cs"/>
          <w:b/>
          <w:iCs/>
          <w:sz w:val="24"/>
          <w:szCs w:val="24"/>
        </w:rPr>
        <w:t>di Assestamento</w:t>
      </w:r>
    </w:p>
    <w:p w14:paraId="79041E75" w14:textId="48D0AB43" w:rsidR="00607BB6" w:rsidRDefault="00607BB6" w:rsidP="00607BB6">
      <w:pPr>
        <w:pStyle w:val="Paragrafoelenco"/>
        <w:numPr>
          <w:ilvl w:val="0"/>
          <w:numId w:val="12"/>
        </w:numPr>
        <w:rPr>
          <w:rFonts w:ascii="Andalus" w:hAnsi="Andalus" w:cs="Andalus"/>
          <w:bCs/>
          <w:iCs/>
        </w:rPr>
      </w:pPr>
      <w:r w:rsidRPr="00607BB6">
        <w:rPr>
          <w:rFonts w:ascii="Andalus" w:hAnsi="Andalus" w:cs="Andalus"/>
          <w:bCs/>
          <w:iCs/>
        </w:rPr>
        <w:lastRenderedPageBreak/>
        <w:t>Le scritture di Ammortamento</w:t>
      </w:r>
    </w:p>
    <w:p w14:paraId="479728E5" w14:textId="12972BB2" w:rsidR="00607BB6" w:rsidRDefault="00607BB6" w:rsidP="00607BB6">
      <w:pPr>
        <w:pStyle w:val="Paragrafoelenco"/>
        <w:numPr>
          <w:ilvl w:val="0"/>
          <w:numId w:val="12"/>
        </w:numPr>
        <w:rPr>
          <w:rFonts w:ascii="Andalus" w:hAnsi="Andalus" w:cs="Andalus"/>
          <w:bCs/>
          <w:iCs/>
        </w:rPr>
      </w:pPr>
      <w:r>
        <w:rPr>
          <w:rFonts w:ascii="Andalus" w:hAnsi="Andalus" w:cs="Andalus"/>
          <w:bCs/>
          <w:iCs/>
        </w:rPr>
        <w:t>Le scritture di Completamento</w:t>
      </w:r>
    </w:p>
    <w:p w14:paraId="1CBBCF76" w14:textId="2303C944" w:rsidR="00607BB6" w:rsidRDefault="00607BB6" w:rsidP="00607BB6">
      <w:pPr>
        <w:pStyle w:val="Paragrafoelenco"/>
        <w:numPr>
          <w:ilvl w:val="0"/>
          <w:numId w:val="12"/>
        </w:numPr>
        <w:rPr>
          <w:rFonts w:ascii="Andalus" w:hAnsi="Andalus" w:cs="Andalus"/>
          <w:bCs/>
          <w:iCs/>
        </w:rPr>
      </w:pPr>
      <w:r>
        <w:rPr>
          <w:rFonts w:ascii="Andalus" w:hAnsi="Andalus" w:cs="Andalus"/>
          <w:bCs/>
          <w:iCs/>
        </w:rPr>
        <w:t>Le Scritture di integrazione</w:t>
      </w:r>
    </w:p>
    <w:p w14:paraId="34E2AF89" w14:textId="32E482AE" w:rsidR="00607BB6" w:rsidRPr="00B3684B" w:rsidRDefault="00607BB6" w:rsidP="00607BB6">
      <w:pPr>
        <w:pStyle w:val="Paragrafoelenco"/>
        <w:numPr>
          <w:ilvl w:val="0"/>
          <w:numId w:val="12"/>
        </w:numPr>
        <w:rPr>
          <w:rFonts w:ascii="Andalus" w:hAnsi="Andalus" w:cs="Andalus"/>
          <w:bCs/>
          <w:iCs/>
        </w:rPr>
      </w:pPr>
      <w:r>
        <w:rPr>
          <w:rFonts w:ascii="Andalus" w:hAnsi="Andalus" w:cs="Andalus"/>
          <w:bCs/>
          <w:iCs/>
        </w:rPr>
        <w:t xml:space="preserve">Le </w:t>
      </w:r>
      <w:r w:rsidR="0068199B">
        <w:rPr>
          <w:rFonts w:ascii="Andalus" w:hAnsi="Andalus" w:cs="Andalus"/>
          <w:bCs/>
          <w:iCs/>
        </w:rPr>
        <w:t>S</w:t>
      </w:r>
      <w:r>
        <w:rPr>
          <w:rFonts w:ascii="Andalus" w:hAnsi="Andalus" w:cs="Andalus"/>
          <w:bCs/>
          <w:iCs/>
        </w:rPr>
        <w:t>critture di Rettifica</w:t>
      </w:r>
    </w:p>
    <w:p w14:paraId="7FF2C6F4" w14:textId="2FC49E6B" w:rsidR="006C765D" w:rsidRPr="00B3684B" w:rsidRDefault="008736C3" w:rsidP="006C765D">
      <w:pPr>
        <w:rPr>
          <w:rFonts w:ascii="Andalus" w:hAnsi="Andalus" w:cs="Andalus"/>
          <w:b/>
          <w:iCs/>
          <w:sz w:val="24"/>
          <w:szCs w:val="24"/>
        </w:rPr>
      </w:pPr>
      <w:r w:rsidRPr="00B3684B">
        <w:rPr>
          <w:rFonts w:ascii="Andalus" w:hAnsi="Andalus" w:cs="Andalus"/>
          <w:b/>
          <w:iCs/>
          <w:sz w:val="24"/>
          <w:szCs w:val="24"/>
        </w:rPr>
        <w:t>Mod.</w:t>
      </w:r>
      <w:r w:rsidR="0068199B" w:rsidRPr="00B3684B">
        <w:rPr>
          <w:rFonts w:ascii="Andalus" w:hAnsi="Andalus" w:cs="Andalus"/>
          <w:b/>
          <w:iCs/>
          <w:sz w:val="24"/>
          <w:szCs w:val="24"/>
        </w:rPr>
        <w:t>1</w:t>
      </w:r>
      <w:r w:rsidRPr="00B3684B">
        <w:rPr>
          <w:rFonts w:ascii="Andalus" w:hAnsi="Andalus" w:cs="Andalus"/>
          <w:b/>
          <w:iCs/>
          <w:sz w:val="24"/>
          <w:szCs w:val="24"/>
        </w:rPr>
        <w:t>.2</w:t>
      </w:r>
      <w:r w:rsidR="006C765D" w:rsidRPr="00B3684B">
        <w:rPr>
          <w:rFonts w:ascii="Andalus" w:hAnsi="Andalus" w:cs="Andalus" w:hint="cs"/>
          <w:b/>
          <w:iCs/>
          <w:sz w:val="24"/>
          <w:szCs w:val="24"/>
        </w:rPr>
        <w:t xml:space="preserve"> </w:t>
      </w:r>
      <w:r w:rsidR="00E11264">
        <w:rPr>
          <w:rFonts w:ascii="Andalus" w:hAnsi="Andalus" w:cs="Andalus"/>
          <w:b/>
          <w:iCs/>
          <w:sz w:val="24"/>
          <w:szCs w:val="24"/>
        </w:rPr>
        <w:t xml:space="preserve"> Le Scritture</w:t>
      </w:r>
      <w:r w:rsidR="006C765D" w:rsidRPr="00B3684B">
        <w:rPr>
          <w:rFonts w:ascii="Andalus" w:hAnsi="Andalus" w:cs="Andalus" w:hint="cs"/>
          <w:b/>
          <w:iCs/>
          <w:sz w:val="24"/>
          <w:szCs w:val="24"/>
        </w:rPr>
        <w:t xml:space="preserve"> di </w:t>
      </w:r>
      <w:r w:rsidRPr="00B3684B">
        <w:rPr>
          <w:rFonts w:ascii="Andalus" w:hAnsi="Andalus" w:cs="Andalus"/>
          <w:b/>
          <w:iCs/>
          <w:sz w:val="24"/>
          <w:szCs w:val="24"/>
        </w:rPr>
        <w:t>E</w:t>
      </w:r>
      <w:r w:rsidR="006C765D" w:rsidRPr="00B3684B">
        <w:rPr>
          <w:rFonts w:ascii="Andalus" w:hAnsi="Andalus" w:cs="Andalus" w:hint="cs"/>
          <w:b/>
          <w:iCs/>
          <w:sz w:val="24"/>
          <w:szCs w:val="24"/>
        </w:rPr>
        <w:t xml:space="preserve">pilogo e </w:t>
      </w:r>
      <w:r w:rsidRPr="00B3684B">
        <w:rPr>
          <w:rFonts w:ascii="Andalus" w:hAnsi="Andalus" w:cs="Andalus"/>
          <w:b/>
          <w:iCs/>
          <w:sz w:val="24"/>
          <w:szCs w:val="24"/>
        </w:rPr>
        <w:t>C</w:t>
      </w:r>
      <w:r w:rsidR="006C765D" w:rsidRPr="00B3684B">
        <w:rPr>
          <w:rFonts w:ascii="Andalus" w:hAnsi="Andalus" w:cs="Andalus" w:hint="cs"/>
          <w:b/>
          <w:iCs/>
          <w:sz w:val="24"/>
          <w:szCs w:val="24"/>
        </w:rPr>
        <w:t xml:space="preserve">hiusura  e Bilancio di  Esercizio </w:t>
      </w:r>
    </w:p>
    <w:p w14:paraId="1FC7770D" w14:textId="4DB422BA" w:rsidR="006C765D" w:rsidRPr="008736C3" w:rsidRDefault="006C765D" w:rsidP="008736C3">
      <w:pPr>
        <w:pStyle w:val="Paragrafoelenco"/>
        <w:numPr>
          <w:ilvl w:val="0"/>
          <w:numId w:val="14"/>
        </w:numPr>
        <w:rPr>
          <w:rFonts w:ascii="Andalus" w:hAnsi="Andalus" w:cs="Andalus"/>
        </w:rPr>
      </w:pPr>
      <w:r w:rsidRPr="008736C3">
        <w:rPr>
          <w:rFonts w:ascii="Andalus" w:hAnsi="Andalus" w:cs="Andalus" w:hint="cs"/>
        </w:rPr>
        <w:t xml:space="preserve">Scritture di epilogo  </w:t>
      </w:r>
    </w:p>
    <w:p w14:paraId="3AB5290D" w14:textId="77777777" w:rsidR="008736C3" w:rsidRDefault="006C765D" w:rsidP="006C765D">
      <w:pPr>
        <w:pStyle w:val="Paragrafoelenco"/>
        <w:numPr>
          <w:ilvl w:val="0"/>
          <w:numId w:val="13"/>
        </w:numPr>
        <w:rPr>
          <w:rFonts w:ascii="Andalus" w:hAnsi="Andalus" w:cs="Andalus"/>
        </w:rPr>
      </w:pPr>
      <w:r w:rsidRPr="008736C3">
        <w:rPr>
          <w:rFonts w:ascii="Andalus" w:hAnsi="Andalus" w:cs="Andalus" w:hint="cs"/>
        </w:rPr>
        <w:t xml:space="preserve">Scritture  di chiusura  </w:t>
      </w:r>
    </w:p>
    <w:p w14:paraId="20AC77B6" w14:textId="00E05F50" w:rsidR="006C765D" w:rsidRPr="008736C3" w:rsidRDefault="006C765D" w:rsidP="006C765D">
      <w:pPr>
        <w:pStyle w:val="Paragrafoelenco"/>
        <w:numPr>
          <w:ilvl w:val="0"/>
          <w:numId w:val="13"/>
        </w:numPr>
        <w:rPr>
          <w:rFonts w:ascii="Andalus" w:hAnsi="Andalus" w:cs="Andalus"/>
        </w:rPr>
      </w:pPr>
      <w:r w:rsidRPr="008736C3">
        <w:rPr>
          <w:rFonts w:ascii="Andalus" w:hAnsi="Andalus" w:cs="Andalus" w:hint="cs"/>
        </w:rPr>
        <w:t xml:space="preserve"> Bilancio di derivazione contabile </w:t>
      </w:r>
    </w:p>
    <w:p w14:paraId="070BE282" w14:textId="2AF2D1E9" w:rsidR="008736C3" w:rsidRDefault="008736C3" w:rsidP="006C765D">
      <w:pPr>
        <w:pStyle w:val="Paragrafoelenco"/>
        <w:numPr>
          <w:ilvl w:val="0"/>
          <w:numId w:val="13"/>
        </w:numPr>
        <w:rPr>
          <w:rFonts w:ascii="Andalus" w:hAnsi="Andalus" w:cs="Andalus"/>
        </w:rPr>
      </w:pPr>
      <w:r w:rsidRPr="008736C3">
        <w:rPr>
          <w:rFonts w:ascii="Andalus" w:hAnsi="Andalus" w:cs="Andalus"/>
        </w:rPr>
        <w:t>Conto Economico Civilistico</w:t>
      </w:r>
    </w:p>
    <w:p w14:paraId="2F3096DF" w14:textId="20785831" w:rsidR="006C765D" w:rsidRPr="00B3684B" w:rsidRDefault="008736C3" w:rsidP="006C765D">
      <w:pPr>
        <w:pStyle w:val="Paragrafoelenco"/>
        <w:numPr>
          <w:ilvl w:val="0"/>
          <w:numId w:val="13"/>
        </w:numPr>
        <w:rPr>
          <w:rFonts w:ascii="Andalus" w:hAnsi="Andalus" w:cs="Andalus"/>
        </w:rPr>
      </w:pPr>
      <w:r>
        <w:rPr>
          <w:rFonts w:ascii="Andalus" w:hAnsi="Andalus" w:cs="Andalus"/>
        </w:rPr>
        <w:t>Stato Patrimoniale Civilistico</w:t>
      </w:r>
    </w:p>
    <w:p w14:paraId="2B8E1E2F" w14:textId="79FC2BC6" w:rsidR="006C765D" w:rsidRPr="00AE0B86" w:rsidRDefault="006C765D" w:rsidP="006C765D">
      <w:pPr>
        <w:rPr>
          <w:rFonts w:ascii="Andalus" w:hAnsi="Andalus" w:cs="Andalus"/>
          <w:b/>
          <w:iCs/>
          <w:sz w:val="24"/>
          <w:szCs w:val="24"/>
        </w:rPr>
      </w:pPr>
      <w:r w:rsidRPr="00AE0B86">
        <w:rPr>
          <w:rFonts w:ascii="Andalus" w:hAnsi="Andalus" w:cs="Andalus" w:hint="cs"/>
          <w:b/>
          <w:iCs/>
          <w:sz w:val="24"/>
          <w:szCs w:val="24"/>
        </w:rPr>
        <w:t xml:space="preserve">Modulo </w:t>
      </w:r>
      <w:r w:rsidR="0068199B" w:rsidRPr="00AE0B86">
        <w:rPr>
          <w:rFonts w:ascii="Andalus" w:hAnsi="Andalus" w:cs="Andalus"/>
          <w:b/>
          <w:iCs/>
          <w:sz w:val="24"/>
          <w:szCs w:val="24"/>
        </w:rPr>
        <w:t>2</w:t>
      </w:r>
      <w:r w:rsidR="008736C3" w:rsidRPr="00AE0B86">
        <w:rPr>
          <w:rFonts w:ascii="Andalus" w:hAnsi="Andalus" w:cs="Andalus"/>
          <w:b/>
          <w:iCs/>
          <w:sz w:val="24"/>
          <w:szCs w:val="24"/>
        </w:rPr>
        <w:t xml:space="preserve">. </w:t>
      </w:r>
      <w:r w:rsidRPr="00AE0B86">
        <w:rPr>
          <w:rFonts w:ascii="Andalus" w:hAnsi="Andalus" w:cs="Andalus" w:hint="cs"/>
          <w:b/>
          <w:iCs/>
          <w:sz w:val="24"/>
          <w:szCs w:val="24"/>
        </w:rPr>
        <w:t>Le Società di Persone e di Capitale</w:t>
      </w:r>
    </w:p>
    <w:p w14:paraId="0628BD6E" w14:textId="380E2B29" w:rsidR="006C765D" w:rsidRPr="0068199B" w:rsidRDefault="006C765D" w:rsidP="0068199B">
      <w:pPr>
        <w:pStyle w:val="Paragrafoelenco"/>
        <w:numPr>
          <w:ilvl w:val="0"/>
          <w:numId w:val="15"/>
        </w:numPr>
        <w:rPr>
          <w:rFonts w:ascii="Andalus" w:hAnsi="Andalus" w:cs="Andalus"/>
          <w:bCs/>
          <w:iCs/>
        </w:rPr>
      </w:pPr>
      <w:r w:rsidRPr="0068199B">
        <w:rPr>
          <w:rFonts w:ascii="Andalus" w:hAnsi="Andalus" w:cs="Andalus" w:hint="cs"/>
          <w:bCs/>
          <w:iCs/>
        </w:rPr>
        <w:t xml:space="preserve">Forma giuridica delle imprese </w:t>
      </w:r>
    </w:p>
    <w:p w14:paraId="63F7DBF5" w14:textId="77777777" w:rsidR="006C765D" w:rsidRPr="0068199B" w:rsidRDefault="006C765D" w:rsidP="0068199B">
      <w:pPr>
        <w:pStyle w:val="Paragrafoelenco"/>
        <w:numPr>
          <w:ilvl w:val="0"/>
          <w:numId w:val="15"/>
        </w:numPr>
        <w:spacing w:after="0" w:line="240" w:lineRule="auto"/>
        <w:rPr>
          <w:rFonts w:ascii="Andalus" w:hAnsi="Andalus" w:cs="Andalus"/>
          <w:iCs/>
        </w:rPr>
      </w:pPr>
      <w:r w:rsidRPr="0068199B">
        <w:rPr>
          <w:rFonts w:ascii="Andalus" w:hAnsi="Andalus" w:cs="Andalus" w:hint="cs"/>
          <w:iCs/>
        </w:rPr>
        <w:t xml:space="preserve">Caratteri  generali  sulle  diverse tipologie di società di persone e di capitale </w:t>
      </w:r>
    </w:p>
    <w:p w14:paraId="36BE2C48" w14:textId="77777777" w:rsidR="006C765D" w:rsidRPr="008736C3" w:rsidRDefault="006C765D" w:rsidP="006C765D">
      <w:pPr>
        <w:numPr>
          <w:ilvl w:val="0"/>
          <w:numId w:val="5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Aspetti giuridici e contabili </w:t>
      </w:r>
    </w:p>
    <w:p w14:paraId="38B59DAC" w14:textId="77777777" w:rsidR="006C765D" w:rsidRPr="008736C3" w:rsidRDefault="006C765D" w:rsidP="006C765D">
      <w:pPr>
        <w:ind w:left="420"/>
        <w:rPr>
          <w:rFonts w:ascii="Andalus" w:hAnsi="Andalus" w:cs="Andalus"/>
          <w:iCs/>
        </w:rPr>
      </w:pPr>
    </w:p>
    <w:p w14:paraId="43A7DD4C" w14:textId="49A5D4AA" w:rsidR="006C765D" w:rsidRPr="0068199B" w:rsidRDefault="0068199B" w:rsidP="0068199B">
      <w:pPr>
        <w:rPr>
          <w:rFonts w:ascii="Andalus" w:hAnsi="Andalus" w:cs="Andalus"/>
          <w:b/>
          <w:iCs/>
        </w:rPr>
      </w:pPr>
      <w:r>
        <w:rPr>
          <w:rFonts w:ascii="Andalus" w:hAnsi="Andalus" w:cs="Andalus"/>
          <w:b/>
          <w:iCs/>
        </w:rPr>
        <w:t xml:space="preserve">MOD. 2.1 </w:t>
      </w:r>
      <w:r w:rsidR="006C765D" w:rsidRPr="008736C3">
        <w:rPr>
          <w:rFonts w:ascii="Andalus" w:hAnsi="Andalus" w:cs="Andalus" w:hint="cs"/>
          <w:b/>
          <w:iCs/>
        </w:rPr>
        <w:t xml:space="preserve">Le Società di persone </w:t>
      </w:r>
      <w:r>
        <w:rPr>
          <w:rFonts w:ascii="Andalus" w:hAnsi="Andalus" w:cs="Andalus"/>
          <w:iCs/>
        </w:rPr>
        <w:t xml:space="preserve">: Caratteri </w:t>
      </w:r>
      <w:r w:rsidR="00AE0B86">
        <w:rPr>
          <w:rFonts w:ascii="Andalus" w:hAnsi="Andalus" w:cs="Andalus"/>
          <w:iCs/>
        </w:rPr>
        <w:t>g</w:t>
      </w:r>
      <w:r>
        <w:rPr>
          <w:rFonts w:ascii="Andalus" w:hAnsi="Andalus" w:cs="Andalus"/>
          <w:iCs/>
        </w:rPr>
        <w:t>enerali</w:t>
      </w:r>
    </w:p>
    <w:p w14:paraId="19E17285" w14:textId="04FDF061" w:rsidR="006C765D" w:rsidRPr="008736C3" w:rsidRDefault="006C765D" w:rsidP="0068199B">
      <w:pPr>
        <w:spacing w:after="0" w:line="240" w:lineRule="auto"/>
        <w:ind w:left="360"/>
        <w:rPr>
          <w:rFonts w:ascii="Andalus" w:hAnsi="Andalus" w:cs="Andalus"/>
          <w:iCs/>
        </w:rPr>
      </w:pPr>
    </w:p>
    <w:p w14:paraId="21CCFD41" w14:textId="3441A465" w:rsidR="006C765D" w:rsidRPr="008736C3" w:rsidRDefault="00AE0B86" w:rsidP="006C765D">
      <w:pPr>
        <w:rPr>
          <w:rFonts w:ascii="Andalus" w:hAnsi="Andalus" w:cs="Andalus"/>
          <w:b/>
          <w:iCs/>
        </w:rPr>
      </w:pPr>
      <w:r>
        <w:rPr>
          <w:rFonts w:ascii="Andalus" w:hAnsi="Andalus" w:cs="Andalus"/>
          <w:b/>
          <w:iCs/>
        </w:rPr>
        <w:t>MOD. 2</w:t>
      </w:r>
      <w:r w:rsidR="006C765D" w:rsidRPr="008736C3">
        <w:rPr>
          <w:rFonts w:ascii="Andalus" w:hAnsi="Andalus" w:cs="Andalus" w:hint="cs"/>
          <w:b/>
          <w:iCs/>
        </w:rPr>
        <w:t>.</w:t>
      </w:r>
      <w:r>
        <w:rPr>
          <w:rFonts w:ascii="Andalus" w:hAnsi="Andalus" w:cs="Andalus"/>
          <w:b/>
          <w:iCs/>
        </w:rPr>
        <w:t>2</w:t>
      </w:r>
      <w:r w:rsidR="006C765D" w:rsidRPr="008736C3">
        <w:rPr>
          <w:rFonts w:ascii="Andalus" w:hAnsi="Andalus" w:cs="Andalus" w:hint="cs"/>
          <w:b/>
          <w:iCs/>
        </w:rPr>
        <w:t xml:space="preserve"> Le Società di capitale </w:t>
      </w:r>
    </w:p>
    <w:p w14:paraId="501C5DFC" w14:textId="77777777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Costituzione Aspetti giuridici e contabili  spa </w:t>
      </w:r>
    </w:p>
    <w:p w14:paraId="6B4E6F4D" w14:textId="3312EE92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Organi Sociali </w:t>
      </w:r>
      <w:r w:rsidR="00E11264">
        <w:rPr>
          <w:rFonts w:ascii="Andalus" w:hAnsi="Andalus" w:cs="Andalus"/>
          <w:iCs/>
        </w:rPr>
        <w:t>e loro funzioni</w:t>
      </w:r>
    </w:p>
    <w:p w14:paraId="3B10C63F" w14:textId="77777777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>I titoli azionari ed obbligazionari</w:t>
      </w:r>
    </w:p>
    <w:p w14:paraId="0D9240AC" w14:textId="77777777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Il bilancio di derivazione  Contabile  </w:t>
      </w:r>
    </w:p>
    <w:p w14:paraId="3EC7BB89" w14:textId="77777777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Principi civilistici di redazione del bilancio </w:t>
      </w:r>
    </w:p>
    <w:p w14:paraId="0F724154" w14:textId="77777777" w:rsidR="006C765D" w:rsidRPr="008736C3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Determinazione del risultato Economico </w:t>
      </w:r>
    </w:p>
    <w:p w14:paraId="2C60A1AA" w14:textId="4B3676EB" w:rsidR="006C765D" w:rsidRDefault="006C765D" w:rsidP="006C765D">
      <w:pPr>
        <w:numPr>
          <w:ilvl w:val="0"/>
          <w:numId w:val="7"/>
        </w:numPr>
        <w:spacing w:after="0" w:line="240" w:lineRule="auto"/>
        <w:rPr>
          <w:rFonts w:ascii="Andalus" w:hAnsi="Andalus" w:cs="Andalus"/>
          <w:iCs/>
        </w:rPr>
      </w:pPr>
      <w:r w:rsidRPr="008736C3">
        <w:rPr>
          <w:rFonts w:ascii="Andalus" w:hAnsi="Andalus" w:cs="Andalus" w:hint="cs"/>
          <w:iCs/>
        </w:rPr>
        <w:t xml:space="preserve">Riparto degli utili  </w:t>
      </w:r>
    </w:p>
    <w:p w14:paraId="6C6D2B37" w14:textId="77777777" w:rsidR="00E11264" w:rsidRPr="00E11264" w:rsidRDefault="00E11264" w:rsidP="00E11264">
      <w:pPr>
        <w:spacing w:after="0" w:line="240" w:lineRule="auto"/>
        <w:ind w:left="720"/>
        <w:rPr>
          <w:rFonts w:ascii="Andalus" w:hAnsi="Andalus" w:cs="Andalus"/>
          <w:iCs/>
        </w:rPr>
      </w:pPr>
    </w:p>
    <w:p w14:paraId="59A920CB" w14:textId="13DEDEDF" w:rsidR="006C765D" w:rsidRPr="00AE0B86" w:rsidRDefault="006C765D" w:rsidP="006C765D">
      <w:pPr>
        <w:rPr>
          <w:rFonts w:ascii="Andalus" w:hAnsi="Andalus" w:cs="Andalus"/>
          <w:b/>
          <w:iCs/>
          <w:sz w:val="24"/>
          <w:szCs w:val="24"/>
        </w:rPr>
      </w:pPr>
      <w:r w:rsidRPr="00AE0B86">
        <w:rPr>
          <w:rFonts w:ascii="Andalus" w:hAnsi="Andalus" w:cs="Andalus" w:hint="cs"/>
          <w:b/>
          <w:iCs/>
          <w:sz w:val="24"/>
          <w:szCs w:val="24"/>
        </w:rPr>
        <w:t>Modulo</w:t>
      </w:r>
      <w:r w:rsidR="00AE0B86">
        <w:rPr>
          <w:rFonts w:ascii="Andalus" w:hAnsi="Andalus" w:cs="Andalus"/>
          <w:b/>
          <w:iCs/>
          <w:sz w:val="24"/>
          <w:szCs w:val="24"/>
        </w:rPr>
        <w:t xml:space="preserve"> </w:t>
      </w:r>
      <w:r w:rsidR="00AE0B86" w:rsidRPr="00AE0B86">
        <w:rPr>
          <w:rFonts w:ascii="Andalus" w:hAnsi="Andalus" w:cs="Andalus"/>
          <w:b/>
          <w:iCs/>
          <w:sz w:val="24"/>
          <w:szCs w:val="24"/>
        </w:rPr>
        <w:t>3</w:t>
      </w:r>
      <w:r w:rsidR="00AE0B86">
        <w:rPr>
          <w:rFonts w:ascii="Andalus" w:hAnsi="Andalus" w:cs="Andalus"/>
          <w:b/>
          <w:iCs/>
          <w:sz w:val="24"/>
          <w:szCs w:val="24"/>
        </w:rPr>
        <w:t>.  Il Mercato Mobiliare</w:t>
      </w:r>
    </w:p>
    <w:p w14:paraId="485BEBBB" w14:textId="59DDA20A" w:rsidR="006C765D" w:rsidRPr="00AE0B86" w:rsidRDefault="006C765D" w:rsidP="00AE0B86">
      <w:pPr>
        <w:pStyle w:val="Paragrafoelenco"/>
        <w:numPr>
          <w:ilvl w:val="0"/>
          <w:numId w:val="17"/>
        </w:numPr>
        <w:spacing w:after="0" w:line="240" w:lineRule="auto"/>
        <w:rPr>
          <w:rFonts w:ascii="Andalus" w:hAnsi="Andalus" w:cs="Andalus"/>
          <w:b/>
          <w:iCs/>
        </w:rPr>
      </w:pPr>
      <w:r w:rsidRPr="00AE0B86">
        <w:rPr>
          <w:rFonts w:ascii="Andalus" w:hAnsi="Andalus" w:cs="Andalus" w:hint="cs"/>
          <w:iCs/>
        </w:rPr>
        <w:t xml:space="preserve">mercato obbligazionario </w:t>
      </w:r>
    </w:p>
    <w:p w14:paraId="096F3290" w14:textId="77777777" w:rsidR="006C765D" w:rsidRPr="00AE0B86" w:rsidRDefault="006C765D" w:rsidP="00AE0B86">
      <w:pPr>
        <w:pStyle w:val="Paragrafoelenco"/>
        <w:numPr>
          <w:ilvl w:val="0"/>
          <w:numId w:val="17"/>
        </w:numPr>
        <w:spacing w:after="0" w:line="240" w:lineRule="auto"/>
        <w:rPr>
          <w:rFonts w:ascii="Andalus" w:hAnsi="Andalus" w:cs="Andalus"/>
          <w:b/>
          <w:iCs/>
        </w:rPr>
      </w:pPr>
      <w:r w:rsidRPr="00AE0B86">
        <w:rPr>
          <w:rFonts w:ascii="Andalus" w:hAnsi="Andalus" w:cs="Andalus" w:hint="cs"/>
          <w:iCs/>
        </w:rPr>
        <w:t>Valore dei titoli  a reddito  predeterminato (val. nom./val. emis. /val merc./val emis)</w:t>
      </w:r>
    </w:p>
    <w:p w14:paraId="09F378AF" w14:textId="77777777" w:rsidR="006C765D" w:rsidRPr="00AE0B86" w:rsidRDefault="006C765D" w:rsidP="00AE0B86">
      <w:pPr>
        <w:pStyle w:val="Paragrafoelenco"/>
        <w:numPr>
          <w:ilvl w:val="0"/>
          <w:numId w:val="17"/>
        </w:numPr>
        <w:spacing w:after="0" w:line="240" w:lineRule="auto"/>
        <w:rPr>
          <w:rFonts w:ascii="Andalus" w:hAnsi="Andalus" w:cs="Andalus"/>
          <w:iCs/>
        </w:rPr>
      </w:pPr>
      <w:r w:rsidRPr="00AE0B86">
        <w:rPr>
          <w:rFonts w:ascii="Andalus" w:hAnsi="Andalus" w:cs="Andalus" w:hint="cs"/>
          <w:iCs/>
        </w:rPr>
        <w:t>I titoli del debito pubblico (BOT,BTP,CCT,CTZ)</w:t>
      </w:r>
    </w:p>
    <w:p w14:paraId="5C699828" w14:textId="77777777" w:rsidR="006C765D" w:rsidRPr="00AE0B86" w:rsidRDefault="006C765D" w:rsidP="00AE0B86">
      <w:pPr>
        <w:pStyle w:val="Paragrafoelenco"/>
        <w:numPr>
          <w:ilvl w:val="0"/>
          <w:numId w:val="17"/>
        </w:numPr>
        <w:spacing w:after="0" w:line="240" w:lineRule="auto"/>
        <w:rPr>
          <w:rFonts w:ascii="Andalus" w:hAnsi="Andalus" w:cs="Andalus"/>
          <w:iCs/>
        </w:rPr>
      </w:pPr>
      <w:r w:rsidRPr="00AE0B86">
        <w:rPr>
          <w:rFonts w:ascii="Andalus" w:hAnsi="Andalus" w:cs="Andalus" w:hint="cs"/>
          <w:iCs/>
        </w:rPr>
        <w:t xml:space="preserve">Le obbligazioni private </w:t>
      </w:r>
    </w:p>
    <w:p w14:paraId="59FF146A" w14:textId="77777777" w:rsidR="006C765D" w:rsidRDefault="006C765D" w:rsidP="00AE0B86">
      <w:pPr>
        <w:pStyle w:val="Paragrafoelenco"/>
        <w:numPr>
          <w:ilvl w:val="0"/>
          <w:numId w:val="17"/>
        </w:numPr>
        <w:spacing w:after="0" w:line="240" w:lineRule="auto"/>
        <w:rPr>
          <w:rFonts w:ascii="Andalus" w:hAnsi="Andalus" w:cs="Andalus"/>
          <w:iCs/>
        </w:rPr>
      </w:pPr>
      <w:r w:rsidRPr="00AE0B86">
        <w:rPr>
          <w:rFonts w:ascii="Andalus" w:hAnsi="Andalus" w:cs="Andalus" w:hint="cs"/>
          <w:iCs/>
        </w:rPr>
        <w:t>Le azioni: caratteri generali ,varie tipologie, diritti connessi, quotazioni, e valore</w:t>
      </w:r>
    </w:p>
    <w:p w14:paraId="3FC509E8" w14:textId="77777777" w:rsidR="00E11264" w:rsidRPr="00AE0B86" w:rsidRDefault="00E11264" w:rsidP="00E11264">
      <w:pPr>
        <w:pStyle w:val="Paragrafoelenco"/>
        <w:spacing w:after="0" w:line="240" w:lineRule="auto"/>
        <w:ind w:left="780"/>
        <w:rPr>
          <w:rFonts w:ascii="Andalus" w:hAnsi="Andalus" w:cs="Andalus"/>
          <w:iCs/>
        </w:rPr>
      </w:pPr>
    </w:p>
    <w:p w14:paraId="29BF1734" w14:textId="563DA4A9" w:rsidR="006C765D" w:rsidRDefault="00AE0B86" w:rsidP="006C765D">
      <w:pPr>
        <w:rPr>
          <w:rFonts w:ascii="Andalus" w:hAnsi="Andalus" w:cs="Andalus"/>
          <w:b/>
          <w:bCs/>
          <w:iCs/>
          <w:sz w:val="24"/>
          <w:szCs w:val="24"/>
        </w:rPr>
      </w:pPr>
      <w:r w:rsidRPr="00AE0B86">
        <w:rPr>
          <w:rFonts w:ascii="Andalus" w:hAnsi="Andalus" w:cs="Andalus"/>
          <w:b/>
          <w:bCs/>
          <w:iCs/>
          <w:sz w:val="24"/>
          <w:szCs w:val="24"/>
        </w:rPr>
        <w:t xml:space="preserve">Modulo </w:t>
      </w:r>
      <w:r>
        <w:rPr>
          <w:rFonts w:ascii="Andalus" w:hAnsi="Andalus" w:cs="Andalus"/>
          <w:b/>
          <w:bCs/>
          <w:iCs/>
          <w:sz w:val="24"/>
          <w:szCs w:val="24"/>
        </w:rPr>
        <w:t>4. I Finanziamenti alle imprese</w:t>
      </w:r>
    </w:p>
    <w:p w14:paraId="034B006E" w14:textId="15E2CAC1" w:rsidR="00AE0B86" w:rsidRPr="006A6FF8" w:rsidRDefault="00AE0B86" w:rsidP="00AE0B86">
      <w:pPr>
        <w:pStyle w:val="Paragrafoelenco"/>
        <w:numPr>
          <w:ilvl w:val="0"/>
          <w:numId w:val="18"/>
        </w:numPr>
        <w:rPr>
          <w:rFonts w:ascii="Andalus" w:hAnsi="Andalus" w:cs="Andalus"/>
          <w:iCs/>
          <w:sz w:val="24"/>
          <w:szCs w:val="24"/>
        </w:rPr>
      </w:pPr>
      <w:r w:rsidRPr="006A6FF8">
        <w:rPr>
          <w:rFonts w:ascii="Andalus" w:hAnsi="Andalus" w:cs="Andalus"/>
          <w:iCs/>
          <w:sz w:val="24"/>
          <w:szCs w:val="24"/>
        </w:rPr>
        <w:t xml:space="preserve">Il </w:t>
      </w:r>
      <w:r w:rsidR="006A6FF8">
        <w:rPr>
          <w:rFonts w:ascii="Andalus" w:hAnsi="Andalus" w:cs="Andalus"/>
          <w:iCs/>
          <w:sz w:val="24"/>
          <w:szCs w:val="24"/>
        </w:rPr>
        <w:t>F</w:t>
      </w:r>
      <w:r w:rsidRPr="006A6FF8">
        <w:rPr>
          <w:rFonts w:ascii="Andalus" w:hAnsi="Andalus" w:cs="Andalus"/>
          <w:iCs/>
          <w:sz w:val="24"/>
          <w:szCs w:val="24"/>
        </w:rPr>
        <w:t>ido</w:t>
      </w:r>
      <w:r w:rsidR="006A6FF8">
        <w:rPr>
          <w:rFonts w:ascii="Andalus" w:hAnsi="Andalus" w:cs="Andalus"/>
          <w:iCs/>
          <w:sz w:val="24"/>
          <w:szCs w:val="24"/>
        </w:rPr>
        <w:t>:</w:t>
      </w:r>
      <w:r w:rsidRPr="006A6FF8">
        <w:rPr>
          <w:rFonts w:ascii="Andalus" w:hAnsi="Andalus" w:cs="Andalus"/>
          <w:iCs/>
          <w:sz w:val="24"/>
          <w:szCs w:val="24"/>
        </w:rPr>
        <w:t xml:space="preserve">  caratteri generali</w:t>
      </w:r>
    </w:p>
    <w:p w14:paraId="1A55A6D0" w14:textId="697E0C9E" w:rsidR="00AE0B86" w:rsidRPr="006A6FF8" w:rsidRDefault="00AE0B86" w:rsidP="00AE0B86">
      <w:pPr>
        <w:pStyle w:val="Paragrafoelenco"/>
        <w:numPr>
          <w:ilvl w:val="0"/>
          <w:numId w:val="18"/>
        </w:numPr>
        <w:rPr>
          <w:rFonts w:ascii="Andalus" w:hAnsi="Andalus" w:cs="Andalus"/>
          <w:iCs/>
          <w:sz w:val="24"/>
          <w:szCs w:val="24"/>
        </w:rPr>
      </w:pPr>
      <w:r w:rsidRPr="006A6FF8">
        <w:rPr>
          <w:rFonts w:ascii="Andalus" w:hAnsi="Andalus" w:cs="Andalus"/>
          <w:iCs/>
          <w:sz w:val="24"/>
          <w:szCs w:val="24"/>
        </w:rPr>
        <w:t xml:space="preserve">Le operazioni di smobilizzo crediti </w:t>
      </w:r>
      <w:r w:rsidR="006A6FF8" w:rsidRPr="006A6FF8">
        <w:rPr>
          <w:rFonts w:ascii="Andalus" w:hAnsi="Andalus" w:cs="Andalus"/>
          <w:iCs/>
          <w:sz w:val="24"/>
          <w:szCs w:val="24"/>
        </w:rPr>
        <w:t>(Sconto di cambiali, Potafoglio Sbf. Fac</w:t>
      </w:r>
      <w:r w:rsidR="006A6FF8">
        <w:rPr>
          <w:rFonts w:ascii="Andalus" w:hAnsi="Andalus" w:cs="Andalus"/>
          <w:iCs/>
          <w:sz w:val="24"/>
          <w:szCs w:val="24"/>
        </w:rPr>
        <w:t>tor</w:t>
      </w:r>
      <w:r w:rsidR="006A6FF8" w:rsidRPr="006A6FF8">
        <w:rPr>
          <w:rFonts w:ascii="Andalus" w:hAnsi="Andalus" w:cs="Andalus"/>
          <w:iCs/>
          <w:sz w:val="24"/>
          <w:szCs w:val="24"/>
        </w:rPr>
        <w:t xml:space="preserve">ing </w:t>
      </w:r>
      <w:r w:rsidR="006A6FF8">
        <w:rPr>
          <w:rFonts w:ascii="Andalus" w:hAnsi="Andalus" w:cs="Andalus"/>
          <w:iCs/>
          <w:sz w:val="24"/>
          <w:szCs w:val="24"/>
        </w:rPr>
        <w:t>,</w:t>
      </w:r>
      <w:r w:rsidR="006A6FF8" w:rsidRPr="006A6FF8">
        <w:rPr>
          <w:rFonts w:ascii="Andalus" w:hAnsi="Andalus" w:cs="Andalus"/>
          <w:iCs/>
          <w:sz w:val="24"/>
          <w:szCs w:val="24"/>
        </w:rPr>
        <w:t xml:space="preserve">Anticipo </w:t>
      </w:r>
      <w:r w:rsidR="006A6FF8">
        <w:rPr>
          <w:rFonts w:ascii="Andalus" w:hAnsi="Andalus" w:cs="Andalus"/>
          <w:iCs/>
          <w:sz w:val="24"/>
          <w:szCs w:val="24"/>
        </w:rPr>
        <w:t>s</w:t>
      </w:r>
      <w:r w:rsidR="006A6FF8" w:rsidRPr="006A6FF8">
        <w:rPr>
          <w:rFonts w:ascii="Andalus" w:hAnsi="Andalus" w:cs="Andalus"/>
          <w:iCs/>
          <w:sz w:val="24"/>
          <w:szCs w:val="24"/>
        </w:rPr>
        <w:t>u Fattura)</w:t>
      </w:r>
    </w:p>
    <w:p w14:paraId="6A4D8FC6" w14:textId="4FB167D2" w:rsidR="00AE0B86" w:rsidRPr="006A6FF8" w:rsidRDefault="00AE0B86" w:rsidP="00AE0B86">
      <w:pPr>
        <w:pStyle w:val="Paragrafoelenco"/>
        <w:numPr>
          <w:ilvl w:val="0"/>
          <w:numId w:val="18"/>
        </w:numPr>
        <w:rPr>
          <w:rFonts w:ascii="Andalus" w:hAnsi="Andalus" w:cs="Andalus"/>
          <w:iCs/>
          <w:sz w:val="24"/>
          <w:szCs w:val="24"/>
        </w:rPr>
      </w:pPr>
      <w:r w:rsidRPr="006A6FF8">
        <w:rPr>
          <w:rFonts w:ascii="Andalus" w:hAnsi="Andalus" w:cs="Andalus"/>
          <w:iCs/>
          <w:sz w:val="24"/>
          <w:szCs w:val="24"/>
        </w:rPr>
        <w:t xml:space="preserve">Il Mutuo </w:t>
      </w:r>
    </w:p>
    <w:p w14:paraId="66CCA191" w14:textId="2A23D062" w:rsidR="006A6FF8" w:rsidRDefault="006A6FF8" w:rsidP="00AE0B86">
      <w:pPr>
        <w:pStyle w:val="Paragrafoelenco"/>
        <w:numPr>
          <w:ilvl w:val="0"/>
          <w:numId w:val="18"/>
        </w:numPr>
        <w:rPr>
          <w:rFonts w:ascii="Andalus" w:hAnsi="Andalus" w:cs="Andalus"/>
          <w:iCs/>
          <w:sz w:val="24"/>
          <w:szCs w:val="24"/>
        </w:rPr>
      </w:pPr>
      <w:r w:rsidRPr="006A6FF8">
        <w:rPr>
          <w:rFonts w:ascii="Andalus" w:hAnsi="Andalus" w:cs="Andalus"/>
          <w:iCs/>
          <w:sz w:val="24"/>
          <w:szCs w:val="24"/>
        </w:rPr>
        <w:t>Emissioni di obbligazioni</w:t>
      </w:r>
    </w:p>
    <w:p w14:paraId="690A6B47" w14:textId="69918696" w:rsidR="006A6FF8" w:rsidRDefault="006A6FF8" w:rsidP="006A6FF8">
      <w:pPr>
        <w:rPr>
          <w:rFonts w:ascii="Andalus" w:hAnsi="Andalus" w:cs="Andalus"/>
          <w:b/>
          <w:bCs/>
          <w:iCs/>
          <w:sz w:val="24"/>
          <w:szCs w:val="24"/>
        </w:rPr>
      </w:pPr>
      <w:r w:rsidRPr="006A6FF8">
        <w:rPr>
          <w:rFonts w:ascii="Andalus" w:hAnsi="Andalus" w:cs="Andalus"/>
          <w:b/>
          <w:bCs/>
          <w:iCs/>
          <w:sz w:val="24"/>
          <w:szCs w:val="24"/>
        </w:rPr>
        <w:t xml:space="preserve">Per Educazione Civica : </w:t>
      </w:r>
      <w:r>
        <w:rPr>
          <w:rFonts w:ascii="Andalus" w:hAnsi="Andalus" w:cs="Andalus"/>
          <w:b/>
          <w:bCs/>
          <w:iCs/>
          <w:sz w:val="24"/>
          <w:szCs w:val="24"/>
        </w:rPr>
        <w:t xml:space="preserve"> Aspetti Identitari e Produttivi dei Monti Lepini </w:t>
      </w:r>
    </w:p>
    <w:p w14:paraId="5ACBFE7B" w14:textId="53599BA7" w:rsidR="006C765D" w:rsidRPr="00E11264" w:rsidRDefault="00E11264" w:rsidP="00E11264">
      <w:pPr>
        <w:rPr>
          <w:rFonts w:ascii="Andalus" w:hAnsi="Andalus" w:cs="Andalus"/>
          <w:b/>
          <w:bCs/>
          <w:iCs/>
          <w:sz w:val="24"/>
          <w:szCs w:val="24"/>
        </w:rPr>
      </w:pPr>
      <w:r w:rsidRPr="00E11264">
        <w:rPr>
          <w:rFonts w:ascii="Andalus" w:hAnsi="Andalus" w:cs="Andalus"/>
          <w:iCs/>
          <w:sz w:val="24"/>
          <w:szCs w:val="24"/>
        </w:rPr>
        <w:t xml:space="preserve">Sezze 7/06/2024           </w:t>
      </w:r>
      <w:r w:rsidRPr="00E11264">
        <w:rPr>
          <w:rFonts w:ascii="Andalus" w:hAnsi="Andalus" w:cs="Andalus"/>
          <w:b/>
          <w:bCs/>
          <w:iCs/>
          <w:sz w:val="24"/>
          <w:szCs w:val="24"/>
        </w:rPr>
        <w:t xml:space="preserve">                                                         </w:t>
      </w:r>
      <w:r w:rsidRPr="00E11264">
        <w:rPr>
          <w:rFonts w:ascii="Andalus" w:hAnsi="Andalus" w:cs="Andalus"/>
          <w:iCs/>
          <w:sz w:val="24"/>
          <w:szCs w:val="24"/>
        </w:rPr>
        <w:t>Prof.ssa Valentina</w:t>
      </w:r>
      <w:r w:rsidR="00B3684B" w:rsidRPr="00E11264">
        <w:rPr>
          <w:rFonts w:ascii="Andalus" w:hAnsi="Andalus" w:cs="Andalus"/>
          <w:iCs/>
        </w:rPr>
        <w:t xml:space="preserve"> </w:t>
      </w:r>
      <w:r w:rsidRPr="00E11264">
        <w:rPr>
          <w:rFonts w:ascii="Andalus" w:hAnsi="Andalus" w:cs="Andalus"/>
          <w:iCs/>
        </w:rPr>
        <w:t>De Angelis</w:t>
      </w:r>
      <w:r w:rsidR="00B3684B" w:rsidRPr="00E11264">
        <w:rPr>
          <w:rFonts w:ascii="Andalus" w:hAnsi="Andalus" w:cs="Andalus"/>
          <w:iCs/>
        </w:rPr>
        <w:t xml:space="preserve">     </w:t>
      </w:r>
      <w:r w:rsidR="00B3684B" w:rsidRPr="00E11264">
        <w:rPr>
          <w:rFonts w:ascii="Andalus" w:hAnsi="Andalus" w:cs="Andalus"/>
        </w:rPr>
        <w:t xml:space="preserve">                              </w:t>
      </w:r>
    </w:p>
    <w:sectPr w:rsidR="006C765D" w:rsidRPr="00E112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0BA"/>
    <w:multiLevelType w:val="hybridMultilevel"/>
    <w:tmpl w:val="6358A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25C6"/>
    <w:multiLevelType w:val="hybridMultilevel"/>
    <w:tmpl w:val="791817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3428A"/>
    <w:multiLevelType w:val="hybridMultilevel"/>
    <w:tmpl w:val="AB28CB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D16FF"/>
    <w:multiLevelType w:val="hybridMultilevel"/>
    <w:tmpl w:val="D96ECD82"/>
    <w:lvl w:ilvl="0" w:tplc="0410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31A960AB"/>
    <w:multiLevelType w:val="hybridMultilevel"/>
    <w:tmpl w:val="5A2CC940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C2F0E05"/>
    <w:multiLevelType w:val="hybridMultilevel"/>
    <w:tmpl w:val="C61CBC0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2D34BB2"/>
    <w:multiLevelType w:val="hybridMultilevel"/>
    <w:tmpl w:val="4EC8BA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E1549"/>
    <w:multiLevelType w:val="hybridMultilevel"/>
    <w:tmpl w:val="ACEA26CC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D53C90"/>
    <w:multiLevelType w:val="hybridMultilevel"/>
    <w:tmpl w:val="284E7CB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F955E59"/>
    <w:multiLevelType w:val="hybridMultilevel"/>
    <w:tmpl w:val="98462D64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89C0FBF"/>
    <w:multiLevelType w:val="hybridMultilevel"/>
    <w:tmpl w:val="6D92EB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63CA7"/>
    <w:multiLevelType w:val="hybridMultilevel"/>
    <w:tmpl w:val="4ACE38F8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A717EE"/>
    <w:multiLevelType w:val="hybridMultilevel"/>
    <w:tmpl w:val="3AECBAB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323747C"/>
    <w:multiLevelType w:val="hybridMultilevel"/>
    <w:tmpl w:val="095E9EBA"/>
    <w:lvl w:ilvl="0" w:tplc="0410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688C22FB"/>
    <w:multiLevelType w:val="hybridMultilevel"/>
    <w:tmpl w:val="9C420B0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F8A5776"/>
    <w:multiLevelType w:val="hybridMultilevel"/>
    <w:tmpl w:val="6AF23F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031DF"/>
    <w:multiLevelType w:val="hybridMultilevel"/>
    <w:tmpl w:val="F322F4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631268"/>
    <w:multiLevelType w:val="hybridMultilevel"/>
    <w:tmpl w:val="B386BB8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"/>
  </w:num>
  <w:num w:numId="5">
    <w:abstractNumId w:val="14"/>
  </w:num>
  <w:num w:numId="6">
    <w:abstractNumId w:val="0"/>
  </w:num>
  <w:num w:numId="7">
    <w:abstractNumId w:val="2"/>
  </w:num>
  <w:num w:numId="8">
    <w:abstractNumId w:val="17"/>
  </w:num>
  <w:num w:numId="9">
    <w:abstractNumId w:val="7"/>
  </w:num>
  <w:num w:numId="10">
    <w:abstractNumId w:val="11"/>
  </w:num>
  <w:num w:numId="11">
    <w:abstractNumId w:val="16"/>
  </w:num>
  <w:num w:numId="12">
    <w:abstractNumId w:val="15"/>
  </w:num>
  <w:num w:numId="13">
    <w:abstractNumId w:val="12"/>
  </w:num>
  <w:num w:numId="14">
    <w:abstractNumId w:val="9"/>
  </w:num>
  <w:num w:numId="15">
    <w:abstractNumId w:val="5"/>
  </w:num>
  <w:num w:numId="16">
    <w:abstractNumId w:val="8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14"/>
    <w:rsid w:val="00025049"/>
    <w:rsid w:val="001B532E"/>
    <w:rsid w:val="0025131C"/>
    <w:rsid w:val="00273EBD"/>
    <w:rsid w:val="00413414"/>
    <w:rsid w:val="005F1BA9"/>
    <w:rsid w:val="00607BB6"/>
    <w:rsid w:val="0068199B"/>
    <w:rsid w:val="006A6FF8"/>
    <w:rsid w:val="006C765D"/>
    <w:rsid w:val="008736C3"/>
    <w:rsid w:val="00A313CE"/>
    <w:rsid w:val="00AE0B86"/>
    <w:rsid w:val="00B3684B"/>
    <w:rsid w:val="00BF6E27"/>
    <w:rsid w:val="00E11264"/>
    <w:rsid w:val="00F8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BDC5"/>
  <w15:chartTrackingRefBased/>
  <w15:docId w15:val="{09D93023-0CB8-48F8-999C-A5E40282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1220"/>
    <w:pPr>
      <w:spacing w:after="200" w:line="276" w:lineRule="auto"/>
    </w:pPr>
    <w:rPr>
      <w:rFonts w:eastAsiaTheme="minorEastAsia"/>
      <w:kern w:val="0"/>
      <w:lang w:eastAsia="zh-TW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13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13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3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3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4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4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34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4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3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13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13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34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34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4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4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34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4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13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4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134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134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4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134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Ficarola</dc:creator>
  <cp:keywords/>
  <dc:description/>
  <cp:lastModifiedBy>Anna PC</cp:lastModifiedBy>
  <cp:revision>2</cp:revision>
  <dcterms:created xsi:type="dcterms:W3CDTF">2024-06-11T14:20:00Z</dcterms:created>
  <dcterms:modified xsi:type="dcterms:W3CDTF">2024-06-11T14:20:00Z</dcterms:modified>
</cp:coreProperties>
</file>